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Lexend" w:cs="Lexend" w:eastAsia="Lexend" w:hAnsi="Lexend"/>
          <w:b w:val="1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b w:val="1"/>
          <w:sz w:val="36"/>
          <w:szCs w:val="36"/>
          <w:rtl w:val="0"/>
        </w:rPr>
        <w:t xml:space="preserve">Demographic transition model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47626</wp:posOffset>
            </wp:positionH>
            <wp:positionV relativeFrom="paragraph">
              <wp:posOffset>319088</wp:posOffset>
            </wp:positionV>
            <wp:extent cx="5731200" cy="50800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0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Rule="auto"/>
        <w:rPr>
          <w:rFonts w:ascii="Lexend" w:cs="Lexend" w:eastAsia="Lexend" w:hAnsi="Lexend"/>
          <w:b w:val="1"/>
          <w:sz w:val="36"/>
          <w:szCs w:val="36"/>
        </w:rPr>
      </w:pPr>
      <w:bookmarkStart w:colFirst="0" w:colLast="0" w:name="_y36mu9z2dpe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Lexend" w:cs="Lexend" w:eastAsia="Lexend" w:hAnsi="Lexend"/>
          <w:b w:val="1"/>
          <w:sz w:val="32"/>
          <w:szCs w:val="32"/>
        </w:rPr>
      </w:pPr>
      <w:r w:rsidDel="00000000" w:rsidR="00000000" w:rsidRPr="00000000">
        <w:rPr>
          <w:rFonts w:ascii="Lexend" w:cs="Lexend" w:eastAsia="Lexend" w:hAnsi="Lexend"/>
          <w:b w:val="1"/>
          <w:sz w:val="32"/>
          <w:szCs w:val="32"/>
          <w:rtl w:val="0"/>
        </w:rPr>
        <w:t xml:space="preserve">Task A: Label the features of the demographic transition model</w:t>
      </w:r>
    </w:p>
    <w:p w:rsidR="00000000" w:rsidDel="00000000" w:rsidP="00000000" w:rsidRDefault="00000000" w:rsidRPr="00000000" w14:paraId="00000005">
      <w:pPr>
        <w:spacing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Label the provided diagram of the demographic transition model. Mark the axes, stages, birth and death rates, and identify the natural increase.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rFonts w:ascii="Lexend" w:cs="Lexend" w:eastAsia="Lexend" w:hAnsi="Lexend"/>
          <w:b w:val="1"/>
          <w:sz w:val="32"/>
          <w:szCs w:val="32"/>
        </w:rPr>
      </w:pPr>
      <w:r w:rsidDel="00000000" w:rsidR="00000000" w:rsidRPr="00000000">
        <w:rPr>
          <w:rFonts w:ascii="Lexend" w:cs="Lexend" w:eastAsia="Lexend" w:hAnsi="Lexend"/>
          <w:b w:val="1"/>
          <w:sz w:val="32"/>
          <w:szCs w:val="32"/>
          <w:rtl w:val="0"/>
        </w:rPr>
        <w:t xml:space="preserve">Task B: Describe the characteristics of each stage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Describe the characteristics of each stage of the demographic transition model and match them with examples of countries currently in those stages.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rFonts w:ascii="Lexend" w:cs="Lexend" w:eastAsia="Lexend" w:hAnsi="Lexend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Lexend" w:cs="Lexend" w:eastAsia="Lexend" w:hAnsi="Lexend"/>
          <w:b w:val="1"/>
          <w:sz w:val="32"/>
          <w:szCs w:val="32"/>
        </w:rPr>
      </w:pPr>
      <w:r w:rsidDel="00000000" w:rsidR="00000000" w:rsidRPr="00000000">
        <w:rPr>
          <w:rFonts w:ascii="Lexend" w:cs="Lexend" w:eastAsia="Lexend" w:hAnsi="Lexend"/>
          <w:b w:val="1"/>
          <w:sz w:val="32"/>
          <w:szCs w:val="32"/>
          <w:rtl w:val="0"/>
        </w:rPr>
        <w:t xml:space="preserve">Task C: Evaluate the strengths and limitations of the model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Evaluate the strengths and limitations of the demographic transition model by writing a short essay. Include specific examples of countries where the model fits well and others where it does not.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4" w:w="11909" w:orient="portrait"/>
      <w:pgMar w:bottom="1700.7874015748032" w:top="720.0000000000001" w:left="1133.8582677165355" w:right="1410.4724409448836" w:header="453.5433070866142" w:footer="453.543307086614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Lexend SemiBold">
    <w:embedRegular w:fontKey="{00000000-0000-0000-0000-000000000000}" r:id="rId1" w:subsetted="0"/>
    <w:embedBold w:fontKey="{00000000-0000-0000-0000-000000000000}" r:id="rId2" w:subsetted="0"/>
  </w:font>
  <w:font w:name="Lexend Light">
    <w:embedRegular w:fontKey="{00000000-0000-0000-0000-000000000000}" r:id="rId3" w:subsetted="0"/>
    <w:embedBold w:fontKey="{00000000-0000-0000-0000-000000000000}" r:id="rId4" w:subsetted="0"/>
  </w:font>
  <w:font w:name="Lexen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widowControl w:val="0"/>
      <w:spacing w:before="240" w:line="276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color w:val="575756"/>
        <w:sz w:val="18"/>
        <w:szCs w:val="18"/>
        <w:rtl w:val="0"/>
      </w:rPr>
      <w:t xml:space="preserve">© Oak National Academy 2024. Licensed on the</w:t>
    </w:r>
    <w:hyperlink r:id="rId1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5467350</wp:posOffset>
          </wp:positionH>
          <wp:positionV relativeFrom="paragraph">
            <wp:posOffset>114300</wp:posOffset>
          </wp:positionV>
          <wp:extent cx="334064" cy="450850"/>
          <wp:effectExtent b="0" l="0" r="0" t="0"/>
          <wp:wrapNone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A">
    <w:pPr>
      <w:widowControl w:val="0"/>
      <w:spacing w:line="276" w:lineRule="auto"/>
      <w:ind w:right="282.4015748031502"/>
      <w:jc w:val="right"/>
      <w:rPr>
        <w:rFonts w:ascii="Lexend" w:cs="Lexend" w:eastAsia="Lexend" w:hAnsi="Lexend"/>
        <w:color w:val="575756"/>
        <w:sz w:val="18"/>
        <w:szCs w:val="18"/>
      </w:rPr>
    </w:pPr>
    <w:r w:rsidDel="00000000" w:rsidR="00000000" w:rsidRPr="00000000">
      <w:rPr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widowControl w:val="0"/>
      <w:spacing w:before="240" w:line="276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5944350</wp:posOffset>
          </wp:positionH>
          <wp:positionV relativeFrom="paragraph">
            <wp:posOffset>114300</wp:posOffset>
          </wp:positionV>
          <wp:extent cx="334064" cy="45085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C">
    <w:pPr>
      <w:widowControl w:val="0"/>
      <w:spacing w:line="276" w:lineRule="auto"/>
      <w:ind w:right="-277.7952755905511"/>
      <w:jc w:val="right"/>
      <w:rPr>
        <w:rFonts w:ascii="Lexend" w:cs="Lexend" w:eastAsia="Lexend" w:hAnsi="Lexend"/>
        <w:color w:val="575756"/>
        <w:sz w:val="18"/>
        <w:szCs w:val="18"/>
      </w:rPr>
    </w:pPr>
    <w:r w:rsidDel="00000000" w:rsidR="00000000" w:rsidRPr="00000000">
      <w:rPr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line="276" w:lineRule="auto"/>
      <w:ind w:right="-142.7952755905511"/>
      <w:rPr>
        <w:rFonts w:ascii="Lexend" w:cs="Lexend" w:eastAsia="Lexend" w:hAnsi="Lexend"/>
        <w:b w:val="1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4400550</wp:posOffset>
          </wp:positionH>
          <wp:positionV relativeFrom="paragraph">
            <wp:posOffset>104776</wp:posOffset>
          </wp:positionV>
          <wp:extent cx="490232" cy="523875"/>
          <wp:effectExtent b="0" l="0" r="0" t="0"/>
          <wp:wrapNone/>
          <wp:docPr id="4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0232" cy="5238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7">
    <w:pPr>
      <w:spacing w:line="276" w:lineRule="auto"/>
      <w:ind w:right="-142.7952755905511"/>
      <w:rPr>
        <w:rFonts w:ascii="Lexend" w:cs="Lexend" w:eastAsia="Lexend" w:hAnsi="Lexend"/>
        <w:b w:val="1"/>
      </w:rPr>
    </w:pPr>
    <w:r w:rsidDel="00000000" w:rsidR="00000000" w:rsidRPr="00000000">
      <w:rPr>
        <w:rFonts w:ascii="Lexend" w:cs="Lexend" w:eastAsia="Lexend" w:hAnsi="Lexend"/>
        <w:b w:val="1"/>
        <w:rtl w:val="0"/>
      </w:rPr>
      <w:t xml:space="preserve">Name:</w:t>
      <w:tab/>
      <w:t xml:space="preserve">             </w:t>
      <w:tab/>
      <w:tab/>
      <w:tab/>
      <w:tab/>
      <w:tab/>
      <w:t xml:space="preserve"> </w:t>
      <w:tab/>
      <w:tab/>
      <w:tab/>
      <w:t xml:space="preserve">Worksheet</w:t>
    </w:r>
  </w:p>
  <w:p w:rsidR="00000000" w:rsidDel="00000000" w:rsidP="00000000" w:rsidRDefault="00000000" w:rsidRPr="00000000" w14:paraId="00000028">
    <w:pPr>
      <w:jc w:val="righ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line="276" w:lineRule="auto"/>
      <w:ind w:right="-142.7952755905511"/>
      <w:rPr>
        <w:rFonts w:ascii="Lexend" w:cs="Lexend" w:eastAsia="Lexend" w:hAnsi="Lexend"/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spacing w:line="276" w:lineRule="auto"/>
      <w:ind w:right="-142.7952755905511"/>
      <w:rPr>
        <w:rFonts w:ascii="Lexend" w:cs="Lexend" w:eastAsia="Lexend" w:hAnsi="Lexend"/>
        <w:b w:val="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exend Light" w:cs="Lexend Light" w:eastAsia="Lexend Light" w:hAnsi="Lexend Light"/>
        <w:sz w:val="24"/>
        <w:szCs w:val="24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360" w:before="240" w:lineRule="auto"/>
    </w:pPr>
    <w:rPr>
      <w:rFonts w:ascii="Lexend SemiBold" w:cs="Lexend SemiBold" w:eastAsia="Lexend SemiBold" w:hAnsi="Lexend SemiBold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320" w:lineRule="auto"/>
    </w:pPr>
    <w:rPr>
      <w:rFonts w:ascii="Lexend SemiBold" w:cs="Lexend SemiBold" w:eastAsia="Lexend SemiBold" w:hAnsi="Lexend SemiBold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before="320" w:lineRule="auto"/>
    </w:pPr>
    <w:rPr>
      <w:rFonts w:ascii="Lexend SemiBold" w:cs="Lexend SemiBold" w:eastAsia="Lexend SemiBold" w:hAnsi="Lexend SemiBold"/>
    </w:rPr>
  </w:style>
  <w:style w:type="paragraph" w:styleId="Heading4">
    <w:name w:val="heading 4"/>
    <w:basedOn w:val="Normal"/>
    <w:next w:val="Normal"/>
    <w:pPr>
      <w:keepNext w:val="1"/>
      <w:keepLines w:val="1"/>
      <w:spacing w:before="320" w:lineRule="auto"/>
    </w:pPr>
    <w:rPr>
      <w:rFonts w:ascii="Lexend SemiBold" w:cs="Lexend SemiBold" w:eastAsia="Lexend SemiBold" w:hAnsi="Lexend SemiBold"/>
    </w:rPr>
  </w:style>
  <w:style w:type="paragraph" w:styleId="Heading5">
    <w:name w:val="heading 5"/>
    <w:basedOn w:val="Normal"/>
    <w:next w:val="Normal"/>
    <w:pPr>
      <w:keepNext w:val="1"/>
      <w:keepLines w:val="1"/>
      <w:spacing w:after="320" w:before="320" w:lineRule="auto"/>
    </w:pPr>
    <w:rPr>
      <w:sz w:val="32"/>
      <w:szCs w:val="3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320" w:lineRule="auto"/>
    </w:pPr>
    <w:rPr>
      <w:rFonts w:ascii="Lexend SemiBold" w:cs="Lexend SemiBold" w:eastAsia="Lexend SemiBold" w:hAnsi="Lexend SemiBold"/>
      <w:sz w:val="90"/>
      <w:szCs w:val="9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SemiBold-regular.ttf"/><Relationship Id="rId2" Type="http://schemas.openxmlformats.org/officeDocument/2006/relationships/font" Target="fonts/LexendSemiBold-bold.ttf"/><Relationship Id="rId3" Type="http://schemas.openxmlformats.org/officeDocument/2006/relationships/font" Target="fonts/LexendLight-regular.ttf"/><Relationship Id="rId4" Type="http://schemas.openxmlformats.org/officeDocument/2006/relationships/font" Target="fonts/LexendLight-bold.ttf"/><Relationship Id="rId5" Type="http://schemas.openxmlformats.org/officeDocument/2006/relationships/font" Target="fonts/Lexend-regular.ttf"/><Relationship Id="rId6" Type="http://schemas.openxmlformats.org/officeDocument/2006/relationships/font" Target="fonts/Lexe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